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6B" w:rsidRPr="00196367" w:rsidRDefault="00322F6B" w:rsidP="00322F6B">
      <w:pPr>
        <w:spacing w:after="0"/>
        <w:jc w:val="center"/>
        <w:rPr>
          <w:sz w:val="52"/>
          <w:szCs w:val="52"/>
        </w:rPr>
      </w:pPr>
      <w:r w:rsidRPr="00196367">
        <w:rPr>
          <w:sz w:val="52"/>
          <w:szCs w:val="52"/>
        </w:rPr>
        <w:t>TRANSPARENCIA</w:t>
      </w:r>
    </w:p>
    <w:p w:rsidR="00322F6B" w:rsidRPr="00196367" w:rsidRDefault="00322F6B" w:rsidP="00322F6B">
      <w:pPr>
        <w:spacing w:after="0"/>
        <w:jc w:val="center"/>
        <w:rPr>
          <w:sz w:val="52"/>
          <w:szCs w:val="52"/>
        </w:rPr>
      </w:pPr>
      <w:r w:rsidRPr="00196367">
        <w:rPr>
          <w:sz w:val="52"/>
          <w:szCs w:val="52"/>
        </w:rPr>
        <w:t>PLATAFORMA CIMTRA</w:t>
      </w:r>
    </w:p>
    <w:p w:rsidR="00322F6B" w:rsidRPr="00196367" w:rsidRDefault="00322F6B" w:rsidP="00322F6B">
      <w:pPr>
        <w:spacing w:after="0"/>
        <w:jc w:val="center"/>
        <w:rPr>
          <w:sz w:val="52"/>
          <w:szCs w:val="52"/>
        </w:rPr>
      </w:pPr>
      <w:r w:rsidRPr="00196367">
        <w:rPr>
          <w:sz w:val="52"/>
          <w:szCs w:val="52"/>
        </w:rPr>
        <w:t>BLOQUE IV</w:t>
      </w:r>
    </w:p>
    <w:p w:rsidR="00322F6B" w:rsidRDefault="00322F6B" w:rsidP="00322F6B">
      <w:pPr>
        <w:spacing w:after="0"/>
        <w:jc w:val="center"/>
        <w:rPr>
          <w:sz w:val="36"/>
          <w:szCs w:val="36"/>
        </w:rPr>
      </w:pPr>
    </w:p>
    <w:p w:rsidR="00322F6B" w:rsidRDefault="00322F6B" w:rsidP="00322F6B">
      <w:pPr>
        <w:spacing w:after="0"/>
        <w:jc w:val="center"/>
        <w:rPr>
          <w:sz w:val="36"/>
          <w:szCs w:val="36"/>
        </w:rPr>
      </w:pPr>
    </w:p>
    <w:p w:rsidR="00322F6B" w:rsidRPr="00196367" w:rsidRDefault="00322F6B" w:rsidP="00322F6B">
      <w:pPr>
        <w:spacing w:after="0"/>
        <w:jc w:val="both"/>
        <w:rPr>
          <w:sz w:val="36"/>
          <w:szCs w:val="36"/>
        </w:rPr>
      </w:pPr>
      <w:r w:rsidRPr="00196367">
        <w:rPr>
          <w:sz w:val="36"/>
          <w:szCs w:val="36"/>
        </w:rPr>
        <w:t xml:space="preserve">Punto 17.3.- La </w:t>
      </w:r>
      <w:r w:rsidRPr="00196367">
        <w:rPr>
          <w:rFonts w:cstheme="minorHAnsi"/>
          <w:sz w:val="36"/>
          <w:szCs w:val="36"/>
        </w:rPr>
        <w:t>Ley de Compras Gubernamen</w:t>
      </w:r>
      <w:bookmarkStart w:id="0" w:name="_GoBack"/>
      <w:bookmarkEnd w:id="0"/>
      <w:r w:rsidRPr="00196367">
        <w:rPr>
          <w:rFonts w:cstheme="minorHAnsi"/>
          <w:sz w:val="36"/>
          <w:szCs w:val="36"/>
        </w:rPr>
        <w:t>tales, Enajenaciones y Contratación de Servicios del Municipio del Estado de Jalisco, prescribe en su artículo 25 la forma de selección de los integrantes de los Comités Municipales, en donde el Gobierno Municipal de San Ignacio Cerro Gordo, Jalisco, utilizó figuras análogas a las establecidas en dicha regulación.</w:t>
      </w:r>
    </w:p>
    <w:p w:rsidR="00322F6B" w:rsidRPr="00196367" w:rsidRDefault="00322F6B" w:rsidP="00322F6B">
      <w:pPr>
        <w:spacing w:after="0"/>
        <w:jc w:val="both"/>
        <w:rPr>
          <w:rFonts w:cstheme="minorHAnsi"/>
          <w:sz w:val="36"/>
          <w:szCs w:val="36"/>
        </w:rPr>
      </w:pPr>
    </w:p>
    <w:p w:rsidR="00322F6B" w:rsidRPr="00196367" w:rsidRDefault="00322F6B">
      <w:pPr>
        <w:rPr>
          <w:sz w:val="36"/>
          <w:szCs w:val="36"/>
        </w:rPr>
      </w:pPr>
    </w:p>
    <w:sectPr w:rsidR="00322F6B" w:rsidRPr="00196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6B"/>
    <w:rsid w:val="00196367"/>
    <w:rsid w:val="00322F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12A6B-8A19-4FEA-8C80-4D327D56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341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SEC.DESARROLLORURAL</dc:creator>
  <cp:keywords/>
  <dc:description/>
  <cp:lastModifiedBy>SEC.DESARROLLORURAL</cp:lastModifiedBy>
  <cp:revision>3</cp:revision>
  <dcterms:created xsi:type="dcterms:W3CDTF">2019-05-06T22:26:00Z</dcterms:created>
  <dcterms:modified xsi:type="dcterms:W3CDTF">2019-06-06T19:05:00Z</dcterms:modified>
</cp:coreProperties>
</file>